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both"/>
        <w:rPr>
          <w:rFonts w:ascii="Times New Roman" w:hAnsi="Times New Roman"/>
          <w:sz w:val="28"/>
        </w:rPr>
      </w:pPr>
      <w:r>
        <w:rPr>
          <w:rFonts w:ascii="Times New Roman" w:hAnsi="Times New Roman"/>
          <w:b w:val="1"/>
          <w:sz w:val="28"/>
        </w:rPr>
        <w:drawing>
          <wp:inline>
            <wp:extent cx="2381250" cy="1000125"/>
            <wp:docPr id="2" name="Picture 2"/>
            <a:graphic>
              <a:graphicData uri="http://schemas.openxmlformats.org/drawingml/2006/picture">
                <pic:pic>
                  <pic:nvPicPr>
                    <pic:cNvPr id="1" name="Picture 1"/>
                    <pic:cNvPicPr preferRelativeResize="true"/>
                  </pic:nvPicPr>
                  <pic:blipFill>
                    <a:blip r:embed="rId1" r:link=""/>
                    <a:srcRect b="0" l="0" r="0" t="0"/>
                    <a:stretch/>
                  </pic:blipFill>
                  <pic:spPr>
                    <a:xfrm rot="0">
                      <a:ext cx="2381250" cy="1000125"/>
                    </a:xfrm>
                    <a:prstGeom prst="rect"/>
                  </pic:spPr>
                </pic:pic>
              </a:graphicData>
            </a:graphic>
          </wp:inline>
        </w:drawing>
      </w:r>
    </w:p>
    <w:p w14:paraId="02000000">
      <w:pPr>
        <w:rPr>
          <w:rFonts w:ascii="Times New Roman" w:hAnsi="Times New Roman"/>
          <w:b w:val="1"/>
          <w:sz w:val="24"/>
        </w:rPr>
      </w:pPr>
      <w:r>
        <w:rPr>
          <w:rFonts w:ascii="Times New Roman" w:hAnsi="Times New Roman"/>
          <w:b w:val="1"/>
          <w:sz w:val="24"/>
        </w:rPr>
        <w:t xml:space="preserve">Управление </w:t>
      </w:r>
      <w:r>
        <w:rPr>
          <w:rFonts w:ascii="Times New Roman" w:hAnsi="Times New Roman"/>
          <w:b w:val="1"/>
          <w:sz w:val="24"/>
        </w:rPr>
        <w:t>Росреестра</w:t>
      </w:r>
      <w:r>
        <w:rPr>
          <w:rFonts w:ascii="Times New Roman" w:hAnsi="Times New Roman"/>
          <w:b w:val="1"/>
          <w:sz w:val="24"/>
        </w:rPr>
        <w:t xml:space="preserve"> по Республике Адыгея</w:t>
      </w:r>
    </w:p>
    <w:p w14:paraId="03000000"/>
    <w:p w14:paraId="04000000"/>
    <w:p w14:paraId="05000000">
      <w:pPr>
        <w:ind/>
        <w:jc w:val="center"/>
        <w:rPr>
          <w:rFonts w:ascii="Times New Roman" w:hAnsi="Times New Roman"/>
          <w:b w:val="1"/>
          <w:sz w:val="28"/>
        </w:rPr>
      </w:pPr>
      <w:r>
        <w:rPr>
          <w:rFonts w:ascii="Times New Roman" w:hAnsi="Times New Roman"/>
          <w:b w:val="1"/>
          <w:sz w:val="28"/>
        </w:rPr>
        <w:t>Электронные услуги Росреестра -  это просто выгодно</w:t>
      </w:r>
    </w:p>
    <w:p w14:paraId="06000000">
      <w:pPr>
        <w:ind/>
        <w:jc w:val="both"/>
        <w:rPr>
          <w:rFonts w:ascii="Times New Roman" w:hAnsi="Times New Roman"/>
          <w:b w:val="1"/>
          <w:sz w:val="28"/>
        </w:rPr>
      </w:pPr>
    </w:p>
    <w:p w14:paraId="07000000">
      <w:pPr>
        <w:ind/>
        <w:jc w:val="both"/>
        <w:rPr>
          <w:rFonts w:ascii="Times New Roman" w:hAnsi="Times New Roman"/>
          <w:sz w:val="28"/>
        </w:rPr>
      </w:pPr>
      <w:r>
        <w:rPr>
          <w:rFonts w:ascii="Times New Roman" w:hAnsi="Times New Roman"/>
          <w:sz w:val="28"/>
        </w:rPr>
        <w:t>Управление Росреестра по Республике Адыгея напоминает заявителям, что при предоставлении госуслуги по регистрации прав в электронном виде для физлиц размер госпошлины сокращается на 30 процентов.</w:t>
      </w:r>
    </w:p>
    <w:p w14:paraId="08000000">
      <w:pPr>
        <w:ind/>
        <w:jc w:val="both"/>
        <w:rPr>
          <w:rFonts w:ascii="Times New Roman" w:hAnsi="Times New Roman"/>
          <w:sz w:val="28"/>
        </w:rPr>
      </w:pPr>
      <w:r>
        <w:rPr>
          <w:rFonts w:ascii="Times New Roman" w:hAnsi="Times New Roman"/>
          <w:sz w:val="28"/>
        </w:rPr>
        <w:t>Управление Росреестра по Республике Адыгея  неоднократно информировало граждан, что в соответствии с законодательством за совершение юридически значимых действий при государственной регистрации прав на недвижимое имущество и сделок с ним уплачивается государственная пошлина (за государственный кадастровый учет плата не взимается). Ее размер определен Налоговым кодексом Российской Федерации (НК РФ) и зависит от вида регдействия, количества и категории заявителей.</w:t>
      </w:r>
    </w:p>
    <w:p w14:paraId="09000000">
      <w:pPr>
        <w:ind/>
        <w:jc w:val="both"/>
        <w:rPr>
          <w:rFonts w:ascii="Times New Roman" w:hAnsi="Times New Roman"/>
          <w:sz w:val="28"/>
        </w:rPr>
      </w:pPr>
      <w:r>
        <w:rPr>
          <w:rFonts w:ascii="Times New Roman" w:hAnsi="Times New Roman"/>
          <w:sz w:val="28"/>
        </w:rPr>
        <w:t>В соответствии с п. 4 статьи 333.35 НК РФ предусматривается применение понижающего коэффициента величиной 0,7 для расчета размера госпошлины, уплачиваемой физическими лицами при совершении юридически значимых действий с недвижимостью онлайн - с использованием порталов государственных (муниципальных) услуг и иных порталов, интегрированных с единой системой идентификации и аутентификации. Таким образом, при предоставлении физическим лицам услуги по регистрации прав в электронном формате размер госпошлины сокращается на 30 %. Например, в случае направления гражданином документов на регистрацию ранее возникшего права в электронном виде пошлина составит 1400 рублей (вместо 2000 рублей при привычном «бумажном» варианте). При обращении за одной услугой одновременно нескольких лиц размер госпошлины уплачивается соразмерно их долям. Кроме того, законодательством установлены льготы для отдельных категорий граждан.</w:t>
      </w:r>
    </w:p>
    <w:p w14:paraId="0A000000">
      <w:pPr>
        <w:ind/>
        <w:jc w:val="both"/>
        <w:rPr>
          <w:rFonts w:ascii="Times New Roman" w:hAnsi="Times New Roman"/>
          <w:sz w:val="28"/>
        </w:rPr>
      </w:pPr>
    </w:p>
    <w:p w14:paraId="0B000000">
      <w:pPr>
        <w:ind/>
        <w:jc w:val="both"/>
        <w:rPr>
          <w:rFonts w:ascii="Times New Roman" w:hAnsi="Times New Roman"/>
          <w:sz w:val="28"/>
        </w:rPr>
      </w:pPr>
    </w:p>
    <w:sectPr>
      <w:pgSz w:h="16848" w:w="11908"/>
      <w:pgMar w:bottom="850" w:footer="708" w:gutter="0" w:header="708" w:left="1417" w:right="850"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Основной шрифт абзаца2"/>
    <w:link w:val="Style_6_ch"/>
  </w:style>
  <w:style w:styleId="Style_6_ch" w:type="character">
    <w:name w:val="Основной шрифт абзаца2"/>
    <w:link w:val="Style_6"/>
  </w:style>
  <w:style w:styleId="Style_7" w:type="paragraph">
    <w:name w:val="List Paragraph"/>
    <w:basedOn w:val="Style_1"/>
    <w:link w:val="Style_7_ch"/>
    <w:pPr>
      <w:ind w:firstLine="0" w:left="720"/>
      <w:contextualSpacing w:val="1"/>
    </w:pPr>
  </w:style>
  <w:style w:styleId="Style_7_ch" w:type="character">
    <w:name w:val="List Paragraph"/>
    <w:basedOn w:val="Style_1_ch"/>
    <w:link w:val="Style_7"/>
  </w:style>
  <w:style w:styleId="Style_8" w:type="paragraph">
    <w:name w:val="heading 3"/>
    <w:next w:val="Style_1"/>
    <w:link w:val="Style_8_ch"/>
    <w:uiPriority w:val="9"/>
    <w:qFormat/>
    <w:pPr>
      <w:ind/>
      <w:outlineLvl w:val="2"/>
    </w:pPr>
    <w:rPr>
      <w:rFonts w:ascii="XO Thames" w:hAnsi="XO Thames"/>
      <w:b w:val="1"/>
      <w:i w:val="1"/>
    </w:rPr>
  </w:style>
  <w:style w:styleId="Style_8_ch" w:type="character">
    <w:name w:val="heading 3"/>
    <w:link w:val="Style_8"/>
    <w:rPr>
      <w:rFonts w:ascii="XO Thames" w:hAnsi="XO Thames"/>
      <w:b w:val="1"/>
      <w:i w:val="1"/>
    </w:rPr>
  </w:style>
  <w:style w:styleId="Style_9" w:type="paragraph">
    <w:name w:val="Гиперссылка1"/>
    <w:link w:val="Style_9_ch"/>
    <w:rPr>
      <w:color w:val="0000FF"/>
      <w:u w:val="single"/>
    </w:rPr>
  </w:style>
  <w:style w:styleId="Style_9_ch" w:type="character">
    <w:name w:val="Гиперссылка1"/>
    <w:link w:val="Style_9"/>
    <w:rPr>
      <w:color w:val="0000FF"/>
      <w:u w:val="single"/>
    </w:rPr>
  </w:style>
  <w:style w:styleId="Style_10" w:type="paragraph">
    <w:name w:val="Основной шрифт абзаца1"/>
    <w:link w:val="Style_10_ch"/>
  </w:style>
  <w:style w:styleId="Style_10_ch" w:type="character">
    <w:name w:val="Основной шрифт абзаца1"/>
    <w:link w:val="Style_10"/>
  </w:style>
  <w:style w:styleId="Style_11" w:type="paragraph">
    <w:name w:val="toc 3"/>
    <w:next w:val="Style_1"/>
    <w:link w:val="Style_11_ch"/>
    <w:uiPriority w:val="39"/>
    <w:pPr>
      <w:ind w:firstLine="0" w:left="400"/>
    </w:pPr>
  </w:style>
  <w:style w:styleId="Style_11_ch" w:type="character">
    <w:name w:val="toc 3"/>
    <w:link w:val="Style_11"/>
  </w:style>
  <w:style w:styleId="Style_12" w:type="paragraph">
    <w:name w:val="Normal (Web)"/>
    <w:basedOn w:val="Style_1"/>
    <w:link w:val="Style_12_ch"/>
    <w:pPr>
      <w:spacing w:afterAutospacing="on" w:beforeAutospacing="on" w:line="240" w:lineRule="auto"/>
      <w:ind/>
    </w:pPr>
    <w:rPr>
      <w:rFonts w:ascii="Times New Roman" w:hAnsi="Times New Roman"/>
      <w:sz w:val="24"/>
    </w:rPr>
  </w:style>
  <w:style w:styleId="Style_12_ch" w:type="character">
    <w:name w:val="Normal (Web)"/>
    <w:basedOn w:val="Style_1_ch"/>
    <w:link w:val="Style_12"/>
    <w:rPr>
      <w:rFonts w:ascii="Times New Roman" w:hAnsi="Times New Roman"/>
      <w:sz w:val="24"/>
    </w:rPr>
  </w:style>
  <w:style w:styleId="Style_13" w:type="paragraph">
    <w:name w:val="heading 5"/>
    <w:next w:val="Style_1"/>
    <w:link w:val="Style_13_ch"/>
    <w:uiPriority w:val="9"/>
    <w:qFormat/>
    <w:pPr>
      <w:spacing w:after="120" w:before="120"/>
      <w:ind/>
      <w:outlineLvl w:val="4"/>
    </w:pPr>
    <w:rPr>
      <w:rFonts w:ascii="XO Thames" w:hAnsi="XO Thames"/>
      <w:b w:val="1"/>
    </w:rPr>
  </w:style>
  <w:style w:styleId="Style_13_ch" w:type="character">
    <w:name w:val="heading 5"/>
    <w:link w:val="Style_13"/>
    <w:rPr>
      <w:rFonts w:ascii="XO Thames" w:hAnsi="XO Thames"/>
      <w:b w:val="1"/>
    </w:rPr>
  </w:style>
  <w:style w:styleId="Style_14" w:type="paragraph">
    <w:name w:val="heading 1"/>
    <w:next w:val="Style_1"/>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rPr>
      <w:rFonts w:ascii="XO Thames" w:hAnsi="XO Thames"/>
    </w:rPr>
  </w:style>
  <w:style w:styleId="Style_16_ch" w:type="character">
    <w:name w:val="Footnote"/>
    <w:link w:val="Style_16"/>
    <w:rPr>
      <w:rFonts w:ascii="XO Thames" w:hAnsi="XO Thames"/>
    </w:rPr>
  </w:style>
  <w:style w:styleId="Style_17" w:type="paragraph">
    <w:name w:val="toc 1"/>
    <w:next w:val="Style_1"/>
    <w:link w:val="Style_17_ch"/>
    <w:uiPriority w:val="39"/>
    <w:rPr>
      <w:rFonts w:ascii="XO Thames" w:hAnsi="XO Thames"/>
      <w:b w:val="1"/>
    </w:rPr>
  </w:style>
  <w:style w:styleId="Style_17_ch" w:type="character">
    <w:name w:val="toc 1"/>
    <w:link w:val="Style_17"/>
    <w:rPr>
      <w:rFonts w:ascii="XO Thames" w:hAnsi="XO Thames"/>
      <w:b w:val="1"/>
    </w:rPr>
  </w:style>
  <w:style w:styleId="Style_18" w:type="paragraph">
    <w:name w:val="extended-text__short"/>
    <w:basedOn w:val="Style_10"/>
    <w:link w:val="Style_18_ch"/>
  </w:style>
  <w:style w:styleId="Style_18_ch" w:type="character">
    <w:name w:val="extended-text__short"/>
    <w:basedOn w:val="Style_10_ch"/>
    <w:link w:val="Style_18"/>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1"/>
    <w:link w:val="Style_20_ch"/>
    <w:uiPriority w:val="39"/>
    <w:pPr>
      <w:ind w:firstLine="0" w:left="1600"/>
    </w:pPr>
  </w:style>
  <w:style w:styleId="Style_20_ch" w:type="character">
    <w:name w:val="toc 9"/>
    <w:link w:val="Style_20"/>
  </w:style>
  <w:style w:styleId="Style_21" w:type="paragraph">
    <w:name w:val="Обычный1"/>
    <w:link w:val="Style_21_ch"/>
  </w:style>
  <w:style w:styleId="Style_21_ch" w:type="character">
    <w:name w:val="Обычный1"/>
    <w:link w:val="Style_21"/>
  </w:style>
  <w:style w:styleId="Style_22" w:type="paragraph">
    <w:name w:val="Гиперссылка1"/>
    <w:link w:val="Style_22_ch"/>
    <w:rPr>
      <w:color w:val="0000FF"/>
      <w:u w:val="single"/>
    </w:rPr>
  </w:style>
  <w:style w:styleId="Style_22_ch" w:type="character">
    <w:name w:val="Гиперссылка1"/>
    <w:link w:val="Style_22"/>
    <w:rPr>
      <w:color w:val="0000FF"/>
      <w:u w:val="single"/>
    </w:rPr>
  </w:style>
  <w:style w:styleId="Style_23" w:type="paragraph">
    <w:name w:val="toc 8"/>
    <w:next w:val="Style_1"/>
    <w:link w:val="Style_23_ch"/>
    <w:uiPriority w:val="39"/>
    <w:pPr>
      <w:ind w:firstLine="0" w:left="1400"/>
    </w:pPr>
  </w:style>
  <w:style w:styleId="Style_23_ch" w:type="character">
    <w:name w:val="toc 8"/>
    <w:link w:val="Style_23"/>
  </w:style>
  <w:style w:styleId="Style_24" w:type="paragraph">
    <w:name w:val="toc 5"/>
    <w:next w:val="Style_1"/>
    <w:link w:val="Style_24_ch"/>
    <w:uiPriority w:val="39"/>
    <w:pPr>
      <w:ind w:firstLine="0" w:left="800"/>
    </w:pPr>
  </w:style>
  <w:style w:styleId="Style_24_ch" w:type="character">
    <w:name w:val="toc 5"/>
    <w:link w:val="Style_24"/>
  </w:style>
  <w:style w:styleId="Style_25" w:type="paragraph">
    <w:name w:val="Subtitle"/>
    <w:next w:val="Style_1"/>
    <w:link w:val="Style_25_ch"/>
    <w:uiPriority w:val="11"/>
    <w:qFormat/>
    <w:rPr>
      <w:rFonts w:ascii="XO Thames" w:hAnsi="XO Thames"/>
      <w:i w:val="1"/>
      <w:color w:val="616161"/>
      <w:sz w:val="24"/>
    </w:rPr>
  </w:style>
  <w:style w:styleId="Style_25_ch" w:type="character">
    <w:name w:val="Subtitle"/>
    <w:link w:val="Style_25"/>
    <w:rPr>
      <w:rFonts w:ascii="XO Thames" w:hAnsi="XO Thames"/>
      <w:i w:val="1"/>
      <w:color w:val="616161"/>
      <w:sz w:val="24"/>
    </w:rPr>
  </w:style>
  <w:style w:styleId="Style_26" w:type="paragraph">
    <w:name w:val="Balloon Text"/>
    <w:basedOn w:val="Style_1"/>
    <w:link w:val="Style_26_ch"/>
    <w:pPr>
      <w:spacing w:after="0" w:line="240" w:lineRule="auto"/>
      <w:ind/>
    </w:pPr>
    <w:rPr>
      <w:rFonts w:ascii="Tahoma" w:hAnsi="Tahoma"/>
      <w:sz w:val="16"/>
    </w:rPr>
  </w:style>
  <w:style w:styleId="Style_26_ch" w:type="character">
    <w:name w:val="Balloon Text"/>
    <w:basedOn w:val="Style_1_ch"/>
    <w:link w:val="Style_26"/>
    <w:rPr>
      <w:rFonts w:ascii="Tahoma" w:hAnsi="Tahoma"/>
      <w:sz w:val="16"/>
    </w:rPr>
  </w:style>
  <w:style w:styleId="Style_27" w:type="paragraph">
    <w:name w:val="toc 10"/>
    <w:next w:val="Style_1"/>
    <w:link w:val="Style_27_ch"/>
    <w:uiPriority w:val="39"/>
    <w:pPr>
      <w:ind w:firstLine="0" w:left="1800"/>
    </w:pPr>
  </w:style>
  <w:style w:styleId="Style_27_ch" w:type="character">
    <w:name w:val="toc 10"/>
    <w:link w:val="Style_27"/>
  </w:style>
  <w:style w:styleId="Style_28" w:type="paragraph">
    <w:name w:val="Default Paragraph Font"/>
    <w:link w:val="Style_28_ch"/>
  </w:style>
  <w:style w:styleId="Style_28_ch" w:type="character">
    <w:name w:val="Default Paragraph Font"/>
    <w:link w:val="Style_28"/>
  </w:style>
  <w:style w:styleId="Style_29" w:type="paragraph">
    <w:name w:val="Title"/>
    <w:next w:val="Style_1"/>
    <w:link w:val="Style_29_ch"/>
    <w:uiPriority w:val="10"/>
    <w:qFormat/>
    <w:rPr>
      <w:rFonts w:ascii="XO Thames" w:hAnsi="XO Thames"/>
      <w:b w:val="1"/>
      <w:sz w:val="52"/>
    </w:rPr>
  </w:style>
  <w:style w:styleId="Style_29_ch" w:type="character">
    <w:name w:val="Title"/>
    <w:link w:val="Style_29"/>
    <w:rPr>
      <w:rFonts w:ascii="XO Thames" w:hAnsi="XO Thames"/>
      <w:b w:val="1"/>
      <w:sz w:val="52"/>
    </w:rPr>
  </w:style>
  <w:style w:styleId="Style_30" w:type="paragraph">
    <w:name w:val="heading 4"/>
    <w:next w:val="Style_1"/>
    <w:link w:val="Style_30_ch"/>
    <w:uiPriority w:val="9"/>
    <w:qFormat/>
    <w:pPr>
      <w:spacing w:after="120" w:before="120"/>
      <w:ind/>
      <w:outlineLvl w:val="3"/>
    </w:pPr>
    <w:rPr>
      <w:rFonts w:ascii="XO Thames" w:hAnsi="XO Thames"/>
      <w:b w:val="1"/>
      <w:color w:val="595959"/>
      <w:sz w:val="26"/>
    </w:rPr>
  </w:style>
  <w:style w:styleId="Style_30_ch" w:type="character">
    <w:name w:val="heading 4"/>
    <w:link w:val="Style_30"/>
    <w:rPr>
      <w:rFonts w:ascii="XO Thames" w:hAnsi="XO Thames"/>
      <w:b w:val="1"/>
      <w:color w:val="595959"/>
      <w:sz w:val="26"/>
    </w:rPr>
  </w:style>
  <w:style w:styleId="Style_31" w:type="paragraph">
    <w:name w:val="heading 2"/>
    <w:next w:val="Style_1"/>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styleId="Style_32" w:type="paragraph">
    <w:name w:val="Обычный1"/>
    <w:link w:val="Style_32_ch"/>
  </w:style>
  <w:style w:styleId="Style_32_ch" w:type="character">
    <w:name w:val="Обычный1"/>
    <w:link w:val="Style_32"/>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2020-10-23T09:10:48Z</dcterms:modified>
</cp:coreProperties>
</file>